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C6" w:rsidRPr="00E52701" w:rsidRDefault="00E52701" w:rsidP="00E52701">
      <w:pPr>
        <w:jc w:val="center"/>
        <w:rPr>
          <w:color w:val="0070C0"/>
          <w:sz w:val="44"/>
        </w:rPr>
      </w:pPr>
      <w:r w:rsidRPr="00E52701">
        <w:rPr>
          <w:color w:val="0070C0"/>
          <w:sz w:val="44"/>
        </w:rPr>
        <w:t>Create Table of Contents</w:t>
      </w:r>
    </w:p>
    <w:p w:rsidR="00E52701" w:rsidRDefault="00E52701">
      <w:r>
        <w:t>Creating a Table of Contents is simpler than one might think.  If you set up your formatting properly it is as easy as hitting a button.</w:t>
      </w:r>
    </w:p>
    <w:p w:rsidR="00E52701" w:rsidRDefault="00E52701" w:rsidP="00CF3657">
      <w:pPr>
        <w:pStyle w:val="ListParagraph"/>
        <w:numPr>
          <w:ilvl w:val="0"/>
          <w:numId w:val="1"/>
        </w:numPr>
      </w:pPr>
      <w:r>
        <w:t>As I always recommend leave your formatting to after you type up your project</w:t>
      </w:r>
    </w:p>
    <w:p w:rsidR="00E52701" w:rsidRDefault="00E52701" w:rsidP="00CF3657">
      <w:pPr>
        <w:pStyle w:val="ListParagraph"/>
        <w:numPr>
          <w:ilvl w:val="0"/>
          <w:numId w:val="1"/>
        </w:numPr>
      </w:pPr>
      <w:r>
        <w:t>Use Styles directly or use your format painter</w:t>
      </w:r>
    </w:p>
    <w:p w:rsidR="00E52701" w:rsidRDefault="00E52701" w:rsidP="00CF3657">
      <w:pPr>
        <w:pStyle w:val="ListParagraph"/>
        <w:numPr>
          <w:ilvl w:val="2"/>
          <w:numId w:val="1"/>
        </w:numPr>
      </w:pPr>
      <w:r>
        <w:t>Heading 1 and heading 2</w:t>
      </w:r>
    </w:p>
    <w:p w:rsidR="00CF3657" w:rsidRDefault="00CF3657" w:rsidP="00CF3657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1400000" cy="6000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657" w:rsidRDefault="00E52701" w:rsidP="00CF3657">
      <w:pPr>
        <w:pStyle w:val="ListParagraph"/>
        <w:numPr>
          <w:ilvl w:val="0"/>
          <w:numId w:val="1"/>
        </w:numPr>
      </w:pPr>
      <w:r>
        <w:t>Once it’s all set to than you can</w:t>
      </w:r>
      <w:r w:rsidR="00CF3657">
        <w:t xml:space="preserve"> create your table of contents</w:t>
      </w:r>
    </w:p>
    <w:p w:rsidR="00CF3657" w:rsidRDefault="00CF3657" w:rsidP="00CF3657">
      <w:pPr>
        <w:pStyle w:val="ListParagraph"/>
        <w:numPr>
          <w:ilvl w:val="2"/>
          <w:numId w:val="1"/>
        </w:numPr>
      </w:pPr>
      <w:r>
        <w:t>Go to the reference tab</w:t>
      </w:r>
    </w:p>
    <w:p w:rsidR="00CF3657" w:rsidRDefault="00CF3657" w:rsidP="00CF3657">
      <w:pPr>
        <w:pStyle w:val="ListParagraph"/>
        <w:numPr>
          <w:ilvl w:val="2"/>
          <w:numId w:val="1"/>
        </w:numPr>
      </w:pPr>
      <w:r>
        <w:t>Click on table of contents</w:t>
      </w:r>
    </w:p>
    <w:p w:rsidR="00CF3657" w:rsidRDefault="00CF3657" w:rsidP="00CF3657">
      <w:pPr>
        <w:pStyle w:val="ListParagraph"/>
        <w:ind w:left="1080"/>
      </w:pPr>
      <w:r>
        <w:rPr>
          <w:noProof/>
        </w:rPr>
        <w:pict>
          <v:roundrect id="_x0000_s1026" style="position:absolute;left:0;text-align:left;margin-left:44.25pt;margin-top:44.8pt;width:230.25pt;height:128.25pt;z-index:251658240" arcsize="10923f" filled="f" strokecolor="red"/>
        </w:pict>
      </w:r>
      <w:r>
        <w:rPr>
          <w:noProof/>
        </w:rPr>
        <w:drawing>
          <wp:inline distT="0" distB="0" distL="0" distR="0">
            <wp:extent cx="2571750" cy="347662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3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657" w:rsidRDefault="00CF3657" w:rsidP="00CF3657">
      <w:pPr>
        <w:pStyle w:val="ListParagraph"/>
        <w:numPr>
          <w:ilvl w:val="2"/>
          <w:numId w:val="1"/>
        </w:numPr>
      </w:pPr>
      <w:r>
        <w:t>Pick an automatic table</w:t>
      </w:r>
    </w:p>
    <w:p w:rsidR="00CF3657" w:rsidRDefault="00CF3657" w:rsidP="00CF3657">
      <w:pPr>
        <w:ind w:firstLine="720"/>
      </w:pPr>
    </w:p>
    <w:p w:rsidR="00E52701" w:rsidRDefault="00CF3657" w:rsidP="00CF3657">
      <w:r>
        <w:t xml:space="preserve">You can </w:t>
      </w:r>
      <w:r w:rsidRPr="00CF3657">
        <w:rPr>
          <w:b/>
        </w:rPr>
        <w:t>Double click</w:t>
      </w:r>
      <w:r>
        <w:t xml:space="preserve"> on any page number and it will take you to the heading.</w:t>
      </w:r>
    </w:p>
    <w:p w:rsidR="00E52701" w:rsidRDefault="00E52701"/>
    <w:sectPr w:rsidR="00E52701" w:rsidSect="0092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5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701"/>
    <w:rsid w:val="00152320"/>
    <w:rsid w:val="001547E2"/>
    <w:rsid w:val="009260C6"/>
    <w:rsid w:val="00AA56B8"/>
    <w:rsid w:val="00CE50D0"/>
    <w:rsid w:val="00CF3657"/>
    <w:rsid w:val="00E5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D771-C1EF-4991-981F-027CB0D5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Mignone</dc:creator>
  <cp:lastModifiedBy>Anthony Mignone</cp:lastModifiedBy>
  <cp:revision>1</cp:revision>
  <dcterms:created xsi:type="dcterms:W3CDTF">2008-07-29T18:51:00Z</dcterms:created>
  <dcterms:modified xsi:type="dcterms:W3CDTF">2008-07-29T19:15:00Z</dcterms:modified>
</cp:coreProperties>
</file>